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к Порядку </w:t>
      </w:r>
      <w:r/>
    </w:p>
    <w:p>
      <w:pPr>
        <w:ind w:left="4536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определения нормативных затрат на обеспечение функций министерст</w:t>
      </w:r>
      <w:r>
        <w:rPr>
          <w:rFonts w:ascii="Times New Roman" w:hAnsi="Times New Roman" w:cs="Times New Roman"/>
          <w:b/>
          <w:sz w:val="24"/>
          <w:szCs w:val="24"/>
        </w:rPr>
        <w:t xml:space="preserve">ва финансов Саратовской области,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казенного учреждения Саратовской области «Государственное агентство по централизации закупок»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</w:rPr>
        <w:t xml:space="preserve">государственного казенного учреждения Саратовской области «Центр бухгалтерского учета, отчетности и финансов»</w:t>
      </w:r>
      <w:r/>
    </w:p>
    <w:p>
      <w:pPr>
        <w:ind w:left="5387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Правила определения нормативных затрат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обеспечение функций министерства финансов 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казенного учреждения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«Государственное агентство по централизации закупок»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</w:rPr>
        <w:t xml:space="preserve">г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осударственного казенного учреждения Саратовской области «Центр бухгалтерского учета, отчетности и финансов»</w:t>
      </w:r>
      <w:r/>
    </w:p>
    <w:p>
      <w:pPr>
        <w:pStyle w:val="662"/>
        <w:ind w:left="0"/>
        <w:jc w:val="center"/>
        <w:spacing w:lineRule="auto" w:line="24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662"/>
        <w:ind w:left="0"/>
        <w:jc w:val="center"/>
        <w:spacing w:lineRule="auto" w:line="24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. Затраты на техническое обслуживание и </w:t>
      </w:r>
      <w:r>
        <w:rPr>
          <w:rFonts w:ascii="Times New Roman" w:hAnsi="Times New Roman" w:cs="Times New Roman"/>
          <w:sz w:val="28"/>
          <w:szCs w:val="28"/>
        </w:rPr>
        <w:t xml:space="preserve">регламентно</w:t>
      </w:r>
      <w:r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серверного и сетевого оборудования (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ссс</w:t>
      </w:r>
      <w:r>
        <w:rPr>
          <w:rFonts w:ascii="Times New Roman" w:hAnsi="Times New Roman" w:cs="Times New Roman"/>
          <w:sz w:val="28"/>
          <w:szCs w:val="28"/>
        </w:rPr>
        <w:t xml:space="preserve">) определяются по формуле:</w:t>
      </w:r>
      <w:r/>
    </w:p>
    <w:p>
      <w:pPr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ссс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rPr/>
            <m:t>= </m:t>
          </m:r>
          <m:nary>
            <m:naryPr>
              <m:chr m:val="∑"/>
              <m:grow m:val="off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>
                  <m:sty m:val="p"/>
                </m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rPr>
                      <m:sty m:val="p"/>
                    </m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rPr>
                      <m:sty m:val="p"/>
                    </m:rPr>
                    <m:t>i ссс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rPr/>
            <m:t> х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>
                  <m:sty m:val="p"/>
                </m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i ссс</m:t>
              </m:r>
            </m:sub>
          </m:sSub>
        </m:oMath>
      </m:oMathPara>
      <w:r/>
      <w:r/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где: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Q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  <w:lang w:val="en-US"/>
        </w:rPr>
        <w:t xml:space="preserve">I 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ссс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 – количество единиц сетевого или серверного оборудования </w:t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-го вида;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pacing w:val="-6"/>
          <w:sz w:val="28"/>
          <w:szCs w:val="28"/>
        </w:rPr>
      </w:pPr>
      <w:r>
        <w:rPr>
          <w:rFonts w:ascii="Times New Roman" w:hAnsi="Times New Roman" w:cs="Times New Roman" w:eastAsiaTheme="minorEastAsia"/>
          <w:spacing w:val="-6"/>
          <w:sz w:val="28"/>
          <w:szCs w:val="28"/>
          <w:lang w:val="en-US"/>
        </w:rPr>
        <w:t xml:space="preserve">P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  <w:lang w:val="en-US"/>
        </w:rPr>
        <w:t xml:space="preserve">I 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</w:rPr>
        <w:t xml:space="preserve">ссс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 – цена технического обслуживания и 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регламентно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-профилактического ремонта 1 единицы сетевого или серверного оборудования 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-го вида в год;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К указанным затратам относятся затраты на оказание услуг, не относящихся к услугам в соответствии с пунктами 11-15 приложения к Правилам, утвержденным Постановлением № 686-П.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2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 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Затраты на работы по изготовлению криптографических ключей шифрования и электронной подписи (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З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эп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) определяются по формуле: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eastAsiaTheme="minorEastAsia"/>
        </w:rPr>
      </w:r>
      <m:oMathPara>
        <m:oMathParaPr/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эп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rPr/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эп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rPr/>
            <m:t> х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>
                  <m:sty m:val="p"/>
                </m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эп</m:t>
              </m:r>
            </m:sub>
          </m:sSub>
        </m:oMath>
      </m:oMathPara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где: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pacing w:val="-6"/>
          <w:sz w:val="28"/>
          <w:szCs w:val="28"/>
        </w:rPr>
      </w:pPr>
      <w:r>
        <w:rPr>
          <w:rFonts w:ascii="Times New Roman" w:hAnsi="Times New Roman" w:cs="Times New Roman" w:eastAsiaTheme="minorEastAsia"/>
          <w:spacing w:val="-6"/>
          <w:sz w:val="28"/>
          <w:szCs w:val="28"/>
          <w:lang w:val="en-US"/>
        </w:rPr>
        <w:t xml:space="preserve">Q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</w:rPr>
        <w:t xml:space="preserve">эп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 – количество криптографических ключей шифрования и электронной подписи;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P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эп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 – цена изготовления ключа шифрования и электронной подписи.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3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 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Затраты на приобретение основных средств, для которых не определен иной порядок определения затрат (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З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ос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), определяются по формуле: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Theme="minorEastAsia"/>
        </w:rPr>
      </w:r>
      <m:oMathPara>
        <m:oMathParaPr/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ос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rPr/>
            <m:t>= </m:t>
          </m:r>
          <m:nary>
            <m:naryPr>
              <m:chr m:val="∑"/>
              <m:grow m:val="off"/>
              <m:limLoc m:val="undOvr"/>
              <m:sup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i=1</m:t>
              </m:r>
            </m:sub>
            <m:sup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 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i ос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rPr/>
            <m:t> х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>
                  <m:sty m:val="p"/>
                </m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rPr>
                  <m:sty m:val="p"/>
                </m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 ос</m:t>
              </m:r>
            </m:sub>
          </m:sSub>
        </m:oMath>
      </m:oMathPara>
      <w:r>
        <w:rPr>
          <w:rFonts w:eastAsiaTheme="minorEastAsia"/>
        </w:rPr>
        <w:br/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где: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Q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 ос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 – планируемое к приобретению количество </w:t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-ой основных средств;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pacing w:val="-6"/>
          <w:sz w:val="28"/>
          <w:szCs w:val="28"/>
        </w:rPr>
      </w:pPr>
      <w:r>
        <w:rPr>
          <w:rFonts w:ascii="Times New Roman" w:hAnsi="Times New Roman" w:cs="Times New Roman" w:eastAsiaTheme="minorEastAsia"/>
          <w:spacing w:val="-6"/>
          <w:sz w:val="28"/>
          <w:szCs w:val="28"/>
          <w:lang w:val="en-US"/>
        </w:rPr>
        <w:t xml:space="preserve">P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  <w:lang w:val="en-US"/>
        </w:rPr>
        <w:t xml:space="preserve">I 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</w:rPr>
        <w:t xml:space="preserve">ос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 – цена 1 единицы 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основного средства.</w:t>
      </w:r>
      <w:r>
        <w:rPr>
          <w:rFonts w:eastAsiaTheme="minorEastAsia"/>
        </w:rPr>
      </w:r>
    </w:p>
    <w:p>
      <w:pPr>
        <w:ind w:firstLine="709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4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 Затраты на приобретение материальных запасов, для которых не определен иной порядок определения затрат (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З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мз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, определяются по формуле:</w:t>
      </w:r>
      <w:r>
        <w:rPr>
          <w:rFonts w:eastAsiaTheme="minorEastAsia"/>
        </w:rPr>
      </w:r>
    </w:p>
    <w:p>
      <w:pPr>
        <w:ind w:firstLine="709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eastAsiaTheme="minorEastAsia"/>
        </w:rPr>
      </w:r>
      <m:oMathPara>
        <m:oMathParaPr/>
        <m:oMath>
          <m:sSub>
            <m:sSub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З</m:t>
              </m:r>
            </m:e>
            <m:sub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мз</m:t>
              </m:r>
            </m:sub>
          </m:sSub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 </m:t>
          </m:r>
          <m:nary>
            <m:naryPr>
              <m:chr m:val="∑"/>
              <m:grow m:val="off"/>
              <m:limLoc m:val="undOvr"/>
              <m:sup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i=1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>
                      <m:sty m:val="p"/>
                    </m:rPr>
                    <m:t>Q</m:t>
                  </m:r>
                </m:e>
                <m:sub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iмз</m:t>
                  </m:r>
                </m:sub>
              </m:sSub>
            </m:e>
          </m:nary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 х </m:t>
          </m:r>
          <m:sSub>
            <m:sSubPr>
              <m:ctrlPr>
                <w:rPr>
                  <w:rFonts w:ascii="Cambria Math" w:hAnsi="Cambria Math" w:cs="Times New Roman" w:eastAsiaTheme="minorEastAsia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>
                  <m:sty m:val="p"/>
                </m:rPr>
                <m:t>P</m:t>
              </m:r>
            </m:e>
            <m:sub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>
                  <m:sty m:val="p"/>
                </m:rPr>
                <m:t>iмз</m:t>
              </m:r>
            </m:sub>
          </m:sSub>
        </m:oMath>
      </m:oMathPara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где: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Q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z w:val="28"/>
          <w:szCs w:val="28"/>
          <w:vertAlign w:val="subscript"/>
        </w:rPr>
        <w:t xml:space="preserve">мз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 – планируемое к приобретению количество </w:t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-ой материальных запасов;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spacing w:val="-6"/>
          <w:sz w:val="28"/>
          <w:szCs w:val="28"/>
          <w:lang w:val="en-US"/>
        </w:rPr>
        <w:t xml:space="preserve">P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  <w:lang w:val="en-US"/>
        </w:rPr>
        <w:t xml:space="preserve">I</w:t>
      </w:r>
      <w:r>
        <w:rPr>
          <w:rFonts w:ascii="Times New Roman" w:hAnsi="Times New Roman" w:cs="Times New Roman" w:eastAsiaTheme="minorEastAsia"/>
          <w:spacing w:val="-6"/>
          <w:sz w:val="28"/>
          <w:szCs w:val="28"/>
          <w:vertAlign w:val="subscript"/>
        </w:rPr>
        <w:t xml:space="preserve">мз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 – цена 1 единицы </w:t>
      </w:r>
      <w:r>
        <w:rPr>
          <w:rFonts w:ascii="Times New Roman" w:hAnsi="Times New Roman" w:cs="Times New Roman" w:eastAsiaTheme="minorEastAsia"/>
          <w:spacing w:val="-6"/>
          <w:sz w:val="28"/>
          <w:szCs w:val="28"/>
        </w:rPr>
        <w:t xml:space="preserve">материальных запасов.</w:t>
      </w:r>
      <w:r>
        <w:rPr>
          <w:rFonts w:eastAsiaTheme="minorEastAsia"/>
        </w:rPr>
      </w:r>
    </w:p>
    <w:p>
      <w:r>
        <w:rPr>
          <w:rFonts w:eastAsiaTheme="minorEastAsia"/>
        </w:rPr>
      </w:r>
      <w:r>
        <w:rPr>
          <w:rFonts w:eastAsiaTheme="minorEastAsia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9994477"/>
      <w:docPartObj>
        <w:docPartGallery w:val="Page Numbers (Top of Page)"/>
        <w:docPartUnique w:val="true"/>
      </w:docPartObj>
      <w:rPr/>
    </w:sdtPr>
    <w:sdtContent>
      <w:p>
        <w:pPr>
          <w:pStyle w:val="66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/>
      </w:p>
    </w:sdtContent>
  </w:sdt>
  <w:p>
    <w:pPr>
      <w:pStyle w:val="663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58"/>
    <w:next w:val="65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5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58"/>
    <w:next w:val="65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5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58"/>
    <w:next w:val="65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5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58"/>
    <w:next w:val="65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5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58"/>
    <w:next w:val="65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5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58"/>
    <w:next w:val="65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5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58"/>
    <w:next w:val="65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5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58"/>
    <w:next w:val="65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5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58"/>
    <w:next w:val="65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5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58"/>
    <w:next w:val="65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59"/>
    <w:link w:val="32"/>
    <w:uiPriority w:val="10"/>
    <w:rPr>
      <w:sz w:val="48"/>
      <w:szCs w:val="48"/>
    </w:rPr>
  </w:style>
  <w:style w:type="paragraph" w:styleId="34">
    <w:name w:val="Subtitle"/>
    <w:basedOn w:val="658"/>
    <w:next w:val="65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59"/>
    <w:link w:val="34"/>
    <w:uiPriority w:val="11"/>
    <w:rPr>
      <w:sz w:val="24"/>
      <w:szCs w:val="24"/>
    </w:rPr>
  </w:style>
  <w:style w:type="paragraph" w:styleId="36">
    <w:name w:val="Quote"/>
    <w:basedOn w:val="658"/>
    <w:next w:val="65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58"/>
    <w:next w:val="65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59"/>
    <w:link w:val="663"/>
    <w:uiPriority w:val="99"/>
  </w:style>
  <w:style w:type="paragraph" w:styleId="42">
    <w:name w:val="Footer"/>
    <w:basedOn w:val="65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59"/>
    <w:link w:val="42"/>
    <w:uiPriority w:val="99"/>
  </w:style>
  <w:style w:type="paragraph" w:styleId="44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6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6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5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59"/>
    <w:uiPriority w:val="99"/>
    <w:unhideWhenUsed/>
    <w:rPr>
      <w:vertAlign w:val="superscript"/>
    </w:rPr>
  </w:style>
  <w:style w:type="paragraph" w:styleId="176">
    <w:name w:val="endnote text"/>
    <w:basedOn w:val="65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59"/>
    <w:uiPriority w:val="99"/>
    <w:semiHidden/>
    <w:unhideWhenUsed/>
    <w:rPr>
      <w:vertAlign w:val="superscript"/>
    </w:rPr>
  </w:style>
  <w:style w:type="paragraph" w:styleId="179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58"/>
    <w:next w:val="658"/>
    <w:uiPriority w:val="99"/>
    <w:unhideWhenUsed/>
    <w:pPr>
      <w:spacing w:after="0" w:afterAutospacing="0"/>
    </w:pPr>
  </w:style>
  <w:style w:type="paragraph" w:styleId="658" w:default="1">
    <w:name w:val="Normal"/>
    <w:qFormat/>
    <w:pPr>
      <w:spacing w:lineRule="auto" w:line="276" w:after="200"/>
    </w:pPr>
  </w:style>
  <w:style w:type="character" w:styleId="659" w:default="1">
    <w:name w:val="Default Paragraph Font"/>
    <w:uiPriority w:val="1"/>
    <w:semiHidden/>
    <w:unhideWhenUsed/>
  </w:style>
  <w:style w:type="table" w:styleId="6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1" w:default="1">
    <w:name w:val="No List"/>
    <w:uiPriority w:val="99"/>
    <w:semiHidden/>
    <w:unhideWhenUsed/>
  </w:style>
  <w:style w:type="paragraph" w:styleId="662">
    <w:name w:val="List Paragraph"/>
    <w:basedOn w:val="658"/>
    <w:qFormat/>
    <w:uiPriority w:val="34"/>
    <w:pPr>
      <w:contextualSpacing w:val="true"/>
      <w:ind w:left="720"/>
    </w:pPr>
  </w:style>
  <w:style w:type="paragraph" w:styleId="663">
    <w:name w:val="Header"/>
    <w:basedOn w:val="658"/>
    <w:link w:val="66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4" w:customStyle="1">
    <w:name w:val="Верхний колонтитул Знак"/>
    <w:basedOn w:val="659"/>
    <w:link w:val="663"/>
    <w:uiPriority w:val="99"/>
  </w:style>
  <w:style w:type="paragraph" w:styleId="665">
    <w:name w:val="Balloon Text"/>
    <w:basedOn w:val="658"/>
    <w:link w:val="666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666" w:customStyle="1">
    <w:name w:val="Текст выноски Знак"/>
    <w:basedOn w:val="659"/>
    <w:link w:val="665"/>
    <w:uiPriority w:val="99"/>
    <w:semiHidden/>
    <w:rPr>
      <w:rFonts w:ascii="Tahoma" w:hAnsi="Tahoma" w:cs="Tahoma"/>
      <w:sz w:val="16"/>
      <w:szCs w:val="16"/>
    </w:rPr>
  </w:style>
  <w:style w:type="character" w:styleId="667">
    <w:name w:val="Placeholder Text"/>
    <w:basedOn w:val="659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61C5E55F-7BD5-4012-B3E9-64F089B7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ONLYOFFICE/6.3.1.56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Уполовникова</dc:creator>
  <cp:revision>5</cp:revision>
  <dcterms:created xsi:type="dcterms:W3CDTF">2021-03-25T13:48:00Z</dcterms:created>
  <dcterms:modified xsi:type="dcterms:W3CDTF">2022-05-13T12:34:48Z</dcterms:modified>
</cp:coreProperties>
</file>